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30" w:lineRule="atLeast"/>
        <w:jc w:val="center"/>
        <w:rPr>
          <w:rFonts w:hint="eastAsia" w:ascii="宋体" w:hAnsi="宋体"/>
          <w:b w:val="0"/>
          <w:bCs/>
          <w:sz w:val="44"/>
          <w:szCs w:val="44"/>
          <w:lang w:eastAsia="zh-CN"/>
        </w:rPr>
      </w:pPr>
      <w:r>
        <w:rPr>
          <w:rFonts w:hint="eastAsia" w:ascii="宋体" w:hAnsi="宋体"/>
          <w:b w:val="0"/>
          <w:bCs/>
          <w:sz w:val="44"/>
          <w:szCs w:val="44"/>
          <w:lang w:eastAsia="zh-CN"/>
        </w:rPr>
        <w:t>关于公示证后核查情况的公告</w:t>
      </w:r>
    </w:p>
    <w:p>
      <w:pPr>
        <w:widowControl/>
        <w:spacing w:line="330" w:lineRule="atLeast"/>
        <w:jc w:val="center"/>
        <w:rPr>
          <w:rFonts w:hint="default" w:ascii="宋体" w:hAnsi="宋体"/>
          <w:b w:val="0"/>
          <w:bCs/>
          <w:sz w:val="44"/>
          <w:szCs w:val="44"/>
          <w:lang w:val="en-US" w:eastAsia="zh-CN"/>
        </w:rPr>
      </w:pPr>
      <w:r>
        <w:rPr>
          <w:rFonts w:hint="eastAsia" w:ascii="宋体" w:hAnsi="宋体"/>
          <w:b w:val="0"/>
          <w:bCs/>
          <w:sz w:val="44"/>
          <w:szCs w:val="44"/>
          <w:lang w:val="en-US" w:eastAsia="zh-CN"/>
        </w:rPr>
        <w:t>0314</w:t>
      </w:r>
    </w:p>
    <w:p>
      <w:pPr>
        <w:pStyle w:val="2"/>
        <w:keepNext w:val="0"/>
        <w:keepLines w:val="0"/>
        <w:widowControl/>
        <w:suppressLineNumbers w:val="0"/>
        <w:shd w:val="clear" w:fill="FFFFFF"/>
        <w:spacing w:before="150" w:beforeAutospacing="0" w:after="150" w:afterAutospacing="0" w:line="600" w:lineRule="atLeast"/>
        <w:ind w:left="0" w:right="0" w:firstLine="640" w:firstLineChars="200"/>
        <w:jc w:val="left"/>
        <w:rPr>
          <w:rFonts w:hint="eastAsia" w:ascii="仿宋_GB2312" w:eastAsia="仿宋_GB2312" w:cs="宋体"/>
          <w:b w:val="0"/>
          <w:color w:val="000000"/>
          <w:kern w:val="0"/>
          <w:sz w:val="32"/>
          <w:szCs w:val="32"/>
          <w:lang w:val="en-US" w:eastAsia="zh-CN" w:bidi="ar-SA"/>
        </w:rPr>
      </w:pPr>
      <w:r>
        <w:rPr>
          <w:rFonts w:hint="eastAsia" w:ascii="仿宋_GB2312" w:hAnsi="宋体" w:eastAsia="仿宋_GB2312" w:cs="宋体"/>
          <w:b w:val="0"/>
          <w:color w:val="000000"/>
          <w:kern w:val="0"/>
          <w:sz w:val="32"/>
          <w:szCs w:val="32"/>
          <w:lang w:val="en-US" w:eastAsia="zh-CN" w:bidi="ar-SA"/>
        </w:rPr>
        <w:t xml:space="preserve"> 根据</w:t>
      </w:r>
      <w:r>
        <w:rPr>
          <w:rFonts w:hint="eastAsia" w:ascii="仿宋_GB2312" w:eastAsia="仿宋_GB2312" w:cs="宋体"/>
          <w:b w:val="0"/>
          <w:color w:val="000000"/>
          <w:kern w:val="0"/>
          <w:sz w:val="32"/>
          <w:szCs w:val="32"/>
          <w:lang w:val="en-US" w:eastAsia="zh-CN" w:bidi="ar-SA"/>
        </w:rPr>
        <w:t>《电力业务许可证管理规定》、</w:t>
      </w:r>
      <w:r>
        <w:rPr>
          <w:rFonts w:hint="eastAsia" w:ascii="仿宋_GB2312" w:hAnsi="宋体" w:eastAsia="仿宋_GB2312" w:cs="宋体"/>
          <w:b w:val="0"/>
          <w:color w:val="000000"/>
          <w:kern w:val="0"/>
          <w:sz w:val="32"/>
          <w:szCs w:val="32"/>
          <w:lang w:val="en-US" w:eastAsia="zh-CN" w:bidi="ar-SA"/>
        </w:rPr>
        <w:t>《承装（修、试）电力设施许可证管理办法》</w:t>
      </w:r>
      <w:r>
        <w:rPr>
          <w:rFonts w:hint="eastAsia" w:ascii="仿宋_GB2312" w:eastAsia="仿宋_GB2312" w:cs="宋体"/>
          <w:b w:val="0"/>
          <w:color w:val="000000"/>
          <w:kern w:val="0"/>
          <w:sz w:val="32"/>
          <w:szCs w:val="32"/>
          <w:lang w:val="en-US" w:eastAsia="zh-CN" w:bidi="ar-SA"/>
        </w:rPr>
        <w:t>等有关</w:t>
      </w:r>
      <w:r>
        <w:rPr>
          <w:rFonts w:hint="eastAsia" w:ascii="仿宋_GB2312" w:hAnsi="宋体" w:eastAsia="仿宋_GB2312" w:cs="宋体"/>
          <w:b w:val="0"/>
          <w:color w:val="000000"/>
          <w:kern w:val="0"/>
          <w:sz w:val="32"/>
          <w:szCs w:val="32"/>
          <w:lang w:val="en-US" w:eastAsia="zh-CN" w:bidi="ar-SA"/>
        </w:rPr>
        <w:t>规定，</w:t>
      </w:r>
      <w:r>
        <w:rPr>
          <w:rFonts w:hint="eastAsia" w:ascii="仿宋_GB2312" w:eastAsia="仿宋_GB2312" w:cs="宋体"/>
          <w:b w:val="0"/>
          <w:color w:val="000000"/>
          <w:kern w:val="0"/>
          <w:sz w:val="32"/>
          <w:szCs w:val="32"/>
          <w:lang w:val="en-US" w:eastAsia="zh-CN" w:bidi="ar-SA"/>
        </w:rPr>
        <w:t>东北能源监管局前一阶段对申请许可企业进行了证后核查</w:t>
      </w:r>
      <w:r>
        <w:rPr>
          <w:rFonts w:hint="eastAsia" w:ascii="仿宋_GB2312" w:hAnsi="宋体" w:eastAsia="仿宋_GB2312" w:cs="宋体"/>
          <w:b w:val="0"/>
          <w:color w:val="000000"/>
          <w:kern w:val="0"/>
          <w:sz w:val="32"/>
          <w:szCs w:val="32"/>
          <w:lang w:val="en-US" w:eastAsia="zh-CN" w:bidi="ar-SA"/>
        </w:rPr>
        <w:t>，</w:t>
      </w:r>
      <w:r>
        <w:rPr>
          <w:rFonts w:hint="eastAsia" w:ascii="仿宋_GB2312" w:eastAsia="仿宋_GB2312" w:cs="宋体"/>
          <w:b w:val="0"/>
          <w:color w:val="000000"/>
          <w:kern w:val="0"/>
          <w:sz w:val="32"/>
          <w:szCs w:val="32"/>
          <w:lang w:val="en-US" w:eastAsia="zh-CN" w:bidi="ar-SA"/>
        </w:rPr>
        <w:t>现将核查结果进行公示。对于要求责令整改的许可企业已要求企业进行整改，对部分责令整改后仍不满足许可条件的许可企业进行许可撤销和许可降级。</w:t>
      </w:r>
    </w:p>
    <w:p>
      <w:pPr>
        <w:widowControl/>
        <w:spacing w:line="330" w:lineRule="atLeast"/>
        <w:ind w:firstLine="640" w:firstLineChars="200"/>
        <w:rPr>
          <w:rFonts w:hint="eastAsia" w:ascii="仿宋_GB2312" w:hAnsi="宋体" w:eastAsia="仿宋_GB2312" w:cs="宋体"/>
          <w:color w:val="000000"/>
          <w:kern w:val="0"/>
          <w:sz w:val="32"/>
          <w:szCs w:val="32"/>
        </w:rPr>
      </w:pPr>
    </w:p>
    <w:p>
      <w:pPr>
        <w:widowControl/>
        <w:spacing w:line="330" w:lineRule="atLeast"/>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东北能源监管局  </w:t>
      </w:r>
    </w:p>
    <w:p>
      <w:pPr>
        <w:widowControl/>
        <w:spacing w:line="330" w:lineRule="atLeas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日</w:t>
      </w:r>
    </w:p>
    <w:p/>
    <w:p/>
    <w:p/>
    <w:p/>
    <w:p/>
    <w:p/>
    <w:p/>
    <w:p/>
    <w:p/>
    <w:p/>
    <w:p/>
    <w:p/>
    <w:p/>
    <w:p/>
    <w:p/>
    <w:p/>
    <w:p/>
    <w:p/>
    <w:p/>
    <w:p/>
    <w:p/>
    <w:tbl>
      <w:tblPr>
        <w:tblStyle w:val="3"/>
        <w:tblpPr w:leftFromText="180" w:rightFromText="180" w:vertAnchor="text" w:horzAnchor="page" w:tblpX="1889" w:tblpY="155"/>
        <w:tblOverlap w:val="never"/>
        <w:tblW w:w="7663" w:type="dxa"/>
        <w:tblInd w:w="0" w:type="dxa"/>
        <w:shd w:val="clear" w:color="auto" w:fill="auto"/>
        <w:tblLayout w:type="fixed"/>
        <w:tblCellMar>
          <w:top w:w="0" w:type="dxa"/>
          <w:left w:w="108" w:type="dxa"/>
          <w:bottom w:w="0" w:type="dxa"/>
          <w:right w:w="108" w:type="dxa"/>
        </w:tblCellMar>
      </w:tblPr>
      <w:tblGrid>
        <w:gridCol w:w="426"/>
        <w:gridCol w:w="3591"/>
        <w:gridCol w:w="1743"/>
        <w:gridCol w:w="1903"/>
      </w:tblGrid>
      <w:tr>
        <w:tblPrEx>
          <w:shd w:val="clear" w:color="auto" w:fill="auto"/>
          <w:tblCellMar>
            <w:top w:w="0" w:type="dxa"/>
            <w:left w:w="108" w:type="dxa"/>
            <w:bottom w:w="0" w:type="dxa"/>
            <w:right w:w="108" w:type="dxa"/>
          </w:tblCellMar>
        </w:tblPrEx>
        <w:trPr>
          <w:trHeight w:val="690" w:hRule="atLeast"/>
        </w:trPr>
        <w:tc>
          <w:tcPr>
            <w:tcW w:w="7663" w:type="dxa"/>
            <w:gridSpan w:val="4"/>
            <w:tcBorders>
              <w:top w:val="nil"/>
              <w:left w:val="nil"/>
              <w:bottom w:val="nil"/>
              <w:right w:val="nil"/>
            </w:tcBorders>
            <w:shd w:val="clear" w:color="auto" w:fill="auto"/>
            <w:noWrap/>
            <w:vAlign w:val="center"/>
          </w:tcPr>
          <w:p>
            <w:pPr>
              <w:jc w:val="center"/>
              <w:rPr>
                <w:rFonts w:hint="eastAsia"/>
              </w:rPr>
            </w:pPr>
            <w:r>
              <w:rPr>
                <w:rFonts w:hint="eastAsia"/>
                <w:b/>
                <w:bCs/>
                <w:lang w:val="en-US" w:eastAsia="zh-CN"/>
              </w:rPr>
              <w:t>证后核查企业情况</w:t>
            </w:r>
          </w:p>
        </w:tc>
      </w:tr>
      <w:tr>
        <w:tblPrEx>
          <w:shd w:val="clear" w:color="auto" w:fill="auto"/>
          <w:tblCellMar>
            <w:top w:w="0" w:type="dxa"/>
            <w:left w:w="108" w:type="dxa"/>
            <w:bottom w:w="0" w:type="dxa"/>
            <w:right w:w="108" w:type="dxa"/>
          </w:tblCellMar>
        </w:tblPrEx>
        <w:trPr>
          <w:trHeight w:val="690" w:hRule="atLeast"/>
        </w:trPr>
        <w:tc>
          <w:tcPr>
            <w:tcW w:w="7663" w:type="dxa"/>
            <w:gridSpan w:val="4"/>
            <w:tcBorders>
              <w:top w:val="nil"/>
              <w:left w:val="nil"/>
              <w:bottom w:val="nil"/>
              <w:right w:val="nil"/>
            </w:tcBorders>
            <w:shd w:val="clear" w:color="auto" w:fill="auto"/>
            <w:noWrap/>
            <w:vAlign w:val="center"/>
          </w:tcPr>
          <w:p>
            <w:pPr>
              <w:rPr>
                <w:rFonts w:hint="eastAsia"/>
              </w:rPr>
            </w:pPr>
            <w:r>
              <w:rPr>
                <w:rFonts w:hint="eastAsia"/>
                <w:lang w:val="en-US" w:eastAsia="zh-CN"/>
              </w:rPr>
              <w:t>近期，我局通过“双随机 一公开方式”抽取企业开展资质许可证后核查工作，现将核查情况公示如下：</w:t>
            </w:r>
          </w:p>
        </w:tc>
      </w:tr>
      <w:tr>
        <w:tblPrEx>
          <w:shd w:val="clear" w:color="auto" w:fill="auto"/>
          <w:tblCellMar>
            <w:top w:w="0" w:type="dxa"/>
            <w:left w:w="108" w:type="dxa"/>
            <w:bottom w:w="0" w:type="dxa"/>
            <w:right w:w="108" w:type="dxa"/>
          </w:tblCellMar>
        </w:tblPrEx>
        <w:trPr>
          <w:trHeight w:val="800" w:hRule="atLeast"/>
        </w:trPr>
        <w:tc>
          <w:tcPr>
            <w:tcW w:w="766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黑龙江</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序号</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核查企业名称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许可类别</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处理建议</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黑龙江伊品能源有限公司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2</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大庆高新博源热电有限公司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3</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黑龙江哲朴电气科技有限公司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撤销许可</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4</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哈尔滨市第一建筑工程公司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撤销许可</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5</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兰西县城宇电力工程有限公司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撤销许可</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6</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哈尔滨新中北机械设备制造有限公司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7</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黑龙江宏佰建筑工程有限责任公司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8</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佳木斯市宏泽建筑工程有限公司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9</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黑龙江润昇建筑工程有限公司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10</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黑龙江国富建筑工程有限公司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大庆市铭基建筑安装有限公司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12</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七台河富兴电力工程有限责任公司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13</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青冈光明电力安装有限公司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14</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黑龙江灵峰建筑工程有限公司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15</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中谊建设有限公司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trHeight w:val="800" w:hRule="atLeast"/>
        </w:trPr>
        <w:tc>
          <w:tcPr>
            <w:tcW w:w="766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eastAsia="宋体"/>
                <w:lang w:val="en-US" w:eastAsia="zh-CN"/>
              </w:rPr>
            </w:pPr>
            <w:r>
              <w:rPr>
                <w:rFonts w:hint="eastAsia"/>
                <w:lang w:val="en-US" w:eastAsia="zh-CN"/>
              </w:rPr>
              <w:t>吉林</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序号</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核查企业名称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许可类别</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处理建议</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吉林省鼎荣电力安装工程有限公司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2</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吉林省冠衡建筑工程有限公司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3</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长春高欣建设集团有限公司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4</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松原市永胜建设工程有限公司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5</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吉林省安纳科电气设备有限公司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6</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前郭县前电电力工程有限公司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7</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吉林省亿邦建设工程有限公司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8</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吉林市瀚森电气有限公司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9</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吉林省拓成安全技术服务有限公司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10</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长春市恒明电力工程有限公司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吉林省中泰能源有限公司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12</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一容建设有限公司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13</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吉林省鼎胜建设工程有限公司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14</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吉林市太帮人力资源开发有限公司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15</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吉林省鹏宇电力工程安装有限公司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16</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 xml:space="preserve"> 吉林省泓丰建筑工程有限公司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shd w:val="clear" w:color="auto" w:fill="auto"/>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17</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洮南通力电力工程有限公司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18</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吉林极光电气科技有限公司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19</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吉林省恒河电力工程有限公司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20</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中水东北勘测设计研究有限责任公司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承装（修、试）</w:t>
            </w:r>
            <w:r>
              <w:rPr>
                <w:rFonts w:hint="eastAsia"/>
                <w:lang w:val="en-US" w:eastAsia="zh-CN"/>
              </w:rPr>
              <w:br w:type="textWrapping"/>
            </w:r>
            <w:r>
              <w:rPr>
                <w:rFonts w:hint="eastAsia"/>
                <w:lang w:val="en-US" w:eastAsia="zh-CN"/>
              </w:rPr>
              <w:t>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r>
        <w:tblPrEx>
          <w:tblCellMar>
            <w:top w:w="0" w:type="dxa"/>
            <w:left w:w="108" w:type="dxa"/>
            <w:bottom w:w="0" w:type="dxa"/>
            <w:right w:w="108" w:type="dxa"/>
          </w:tblCellMar>
        </w:tblPrEx>
        <w:trPr>
          <w:wAfter w:w="0" w:type="auto"/>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21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lang w:val="en-US" w:eastAsia="zh-CN"/>
              </w:rPr>
            </w:pPr>
            <w:r>
              <w:rPr>
                <w:rFonts w:hint="eastAsia"/>
                <w:lang w:val="en-US" w:eastAsia="zh-CN"/>
              </w:rPr>
              <w:t>通榆新发风力发电有限公司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符合要求</w:t>
            </w:r>
          </w:p>
        </w:tc>
      </w:tr>
    </w:tbl>
    <w:p>
      <w:pPr>
        <w:rPr>
          <w:rFonts w:hint="eastAsia"/>
          <w:lang w:val="en-US" w:eastAsia="zh-CN"/>
        </w:rPr>
      </w:pPr>
    </w:p>
    <w:tbl>
      <w:tblPr>
        <w:tblStyle w:val="3"/>
        <w:tblpPr w:leftFromText="180" w:rightFromText="180" w:vertAnchor="text" w:horzAnchor="page" w:tblpX="1889" w:tblpY="155"/>
        <w:tblOverlap w:val="never"/>
        <w:tblW w:w="7663" w:type="dxa"/>
        <w:tblInd w:w="0" w:type="dxa"/>
        <w:shd w:val="clear" w:color="auto" w:fill="auto"/>
        <w:tblLayout w:type="fixed"/>
        <w:tblCellMar>
          <w:top w:w="0" w:type="dxa"/>
          <w:left w:w="108" w:type="dxa"/>
          <w:bottom w:w="0" w:type="dxa"/>
          <w:right w:w="108" w:type="dxa"/>
        </w:tblCellMar>
      </w:tblPr>
      <w:tblGrid>
        <w:gridCol w:w="426"/>
        <w:gridCol w:w="3591"/>
        <w:gridCol w:w="1743"/>
        <w:gridCol w:w="1903"/>
      </w:tblGrid>
      <w:tr>
        <w:tblPrEx>
          <w:shd w:val="clear" w:color="auto" w:fill="auto"/>
          <w:tblCellMar>
            <w:top w:w="0" w:type="dxa"/>
            <w:left w:w="108" w:type="dxa"/>
            <w:bottom w:w="0" w:type="dxa"/>
            <w:right w:w="108" w:type="dxa"/>
          </w:tblCellMar>
        </w:tblPrEx>
        <w:trPr>
          <w:trHeight w:val="800" w:hRule="atLeast"/>
        </w:trPr>
        <w:tc>
          <w:tcPr>
            <w:tcW w:w="766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eastAsia="宋体"/>
                <w:lang w:val="en-US" w:eastAsia="zh-CN"/>
              </w:rPr>
            </w:pPr>
            <w:r>
              <w:rPr>
                <w:rFonts w:hint="eastAsia"/>
                <w:lang w:val="en-US" w:eastAsia="zh-CN"/>
              </w:rPr>
              <w:t>辽宁</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序号</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核查企业名称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许可类别</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处理建议</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辽宁正昊建设股份有限公司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责令整改后已整改完毕</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2</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辽宁中灏能源建设有限公司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责令整改后已整改完毕</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3</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沈阳利洋安泰电力工程有限公司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4</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本溪励达电气工程有限公司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5</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大连弘基设备安装有限公司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6</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大连瑞阳机电设备安装工程有限公司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责令整改后已整改完毕</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7</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乐星电气（大连）有限公司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8</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辽宁翔诚电力建设有限公司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9</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辽宁煜通电力科技有限公司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10</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辽宁鼎力能源开发科技有限公司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辽宁智诚聚鑫水利电力建筑工程有限公司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责令整改后已整改完毕</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12</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辽宁祥和电力工程服务有限公司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13</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坤泰（朝阳）新能源投资有限公司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14</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凌源东大光伏发电有限公司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15</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国能昌图生物发电有限公司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16</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东港兴尧新能源有限公司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17</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东港永恒新能源有限公司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18</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东港中能建新能源有限公司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19</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东港子航新能源有限公司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766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eastAsia="宋体"/>
                <w:lang w:val="en-US" w:eastAsia="zh-CN"/>
              </w:rPr>
            </w:pPr>
            <w:r>
              <w:rPr>
                <w:rFonts w:hint="eastAsia"/>
                <w:lang w:val="en-US" w:eastAsia="zh-CN"/>
              </w:rPr>
              <w:t>蒙东</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序号</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lang w:val="en-US" w:eastAsia="zh-CN"/>
              </w:rPr>
              <w:t>核查企业名称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许可类别</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处理建议</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lang w:val="en-US" w:eastAsia="zh-CN"/>
              </w:rPr>
            </w:pPr>
            <w:bookmarkStart w:id="0" w:name="_GoBack" w:colFirst="3" w:colLast="3"/>
            <w:r>
              <w:rPr>
                <w:rFonts w:hint="eastAsia"/>
                <w:lang w:val="en-US" w:eastAsia="zh-CN"/>
              </w:rPr>
              <w:t>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通辽市鑫发电力工程有限责任公司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2</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通辽市泓源电力工程有限公司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3</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赤峰彤联电力建设工程有限公司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4</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内蒙古品尚建设有限公司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5</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扎赉特旗寰宇电力安装有限公司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6</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内蒙古中骄电力建设工程有限公司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7</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赤峰锦宏电力工程有限责任公司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8</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乌兰浩特市彬力电气设备有限公司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9</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内蒙古恒源通电力建设有限公司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责令整改后已整改完毕</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10</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兴安盟永盈电力工程有限公司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承装（修、试）电力设施许可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责令整改后已整改完毕</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赤峰经济开发区发电有限公司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12</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赤峰新金色能源有限公司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13</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赤峰富龙热力有限责任公司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14</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通辽市龙城风力发电有限公司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15</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奈曼旗广星配售电有限责任公司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tr>
        <w:tblPrEx>
          <w:shd w:val="clear" w:color="auto" w:fill="auto"/>
          <w:tblCellMar>
            <w:top w:w="0" w:type="dxa"/>
            <w:left w:w="108" w:type="dxa"/>
            <w:bottom w:w="0" w:type="dxa"/>
            <w:right w:w="108" w:type="dxa"/>
          </w:tblCellMar>
        </w:tblPrEx>
        <w:trPr>
          <w:trHeight w:val="800" w:hRule="atLeast"/>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16</w:t>
            </w:r>
          </w:p>
        </w:tc>
        <w:tc>
          <w:tcPr>
            <w:tcW w:w="3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霍林郭勒市电力投资有限责任公司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电力业务许可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符合要求</w:t>
            </w:r>
          </w:p>
        </w:tc>
      </w:tr>
      <w:bookmarkEnd w:id="0"/>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50262"/>
    <w:rsid w:val="2DF50262"/>
    <w:rsid w:val="351A2EE6"/>
    <w:rsid w:val="45B21739"/>
    <w:rsid w:val="509512A9"/>
    <w:rsid w:val="52080DD3"/>
    <w:rsid w:val="682B58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2021-09-29T02:39:00Z</dcterms:created>
  <dc:creator>qzuser</dc:creator>
  <cp:lastModifiedBy>qzuser</cp:lastModifiedBy>
  <dcterms:modified xsi:type="dcterms:W3CDTF">2022-03-14T01:33:28Z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56852B4CC76E48F6936B78C68E4A3E22</vt:lpwstr>
  </property>
</Properties>
</file>